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E6390E">
        <w:rPr>
          <w:rFonts w:ascii="Times New Roman" w:hAnsi="Times New Roman" w:cs="Times New Roman"/>
          <w:b/>
        </w:rPr>
        <w:t xml:space="preserve"> со снижением начальной цены на </w:t>
      </w:r>
      <w:r w:rsidR="005C4DCB">
        <w:rPr>
          <w:rFonts w:ascii="Times New Roman" w:hAnsi="Times New Roman" w:cs="Times New Roman"/>
          <w:b/>
        </w:rPr>
        <w:t>6</w:t>
      </w:r>
      <w:r w:rsidR="00E6390E">
        <w:rPr>
          <w:rFonts w:ascii="Times New Roman" w:hAnsi="Times New Roman" w:cs="Times New Roman"/>
          <w:b/>
        </w:rPr>
        <w:t>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B5388" w:rsidTr="00F4573F">
        <w:trPr>
          <w:trHeight w:val="841"/>
        </w:trPr>
        <w:tc>
          <w:tcPr>
            <w:tcW w:w="567" w:type="dxa"/>
            <w:vMerge w:val="restart"/>
            <w:vAlign w:val="center"/>
          </w:tcPr>
          <w:p w:rsidR="006501EE" w:rsidRPr="00921C57" w:rsidRDefault="006501EE" w:rsidP="006501EE">
            <w:pPr>
              <w:pStyle w:val="a5"/>
              <w:ind w:left="0"/>
              <w:rPr>
                <w:rFonts w:ascii="Times New Roman" w:hAnsi="Times New Roman" w:cs="Times New Roman"/>
              </w:rPr>
            </w:pPr>
          </w:p>
        </w:tc>
        <w:tc>
          <w:tcPr>
            <w:tcW w:w="1630" w:type="dxa"/>
            <w:vMerge w:val="restart"/>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0B5388" w:rsidRPr="000B5388" w:rsidRDefault="000B5388" w:rsidP="000B5388">
            <w:pPr>
              <w:ind w:firstLine="601"/>
              <w:contextualSpacing/>
              <w:jc w:val="both"/>
              <w:rPr>
                <w:rFonts w:ascii="Times New Roman" w:hAnsi="Times New Roman" w:cs="Times New Roman"/>
                <w:lang w:val="en-US" w:eastAsia="en-US"/>
              </w:rPr>
            </w:pPr>
            <w:r w:rsidRPr="000B5388">
              <w:rPr>
                <w:rFonts w:ascii="Times New Roman" w:hAnsi="Times New Roman" w:cs="Times New Roman"/>
                <w:lang w:eastAsia="en-US"/>
              </w:rPr>
              <w:t xml:space="preserve">Видеокарта «Palit GeForce RTX 3090 GamingPro 24GB » мест/вес (P/N:NED3090019SB-132BA). </w:t>
            </w:r>
            <w:r w:rsidRPr="000B5388">
              <w:rPr>
                <w:rFonts w:ascii="Times New Roman" w:hAnsi="Times New Roman" w:cs="Times New Roman"/>
                <w:lang w:val="en-US" w:eastAsia="en-US"/>
              </w:rPr>
              <w:t xml:space="preserve">Made in China. </w:t>
            </w:r>
            <w:r w:rsidRPr="000B5388">
              <w:rPr>
                <w:rFonts w:ascii="Times New Roman" w:hAnsi="Times New Roman" w:cs="Times New Roman"/>
                <w:lang w:eastAsia="en-US"/>
              </w:rPr>
              <w:t>Всего</w:t>
            </w:r>
            <w:r w:rsidRPr="000B5388">
              <w:rPr>
                <w:rFonts w:ascii="Times New Roman" w:hAnsi="Times New Roman" w:cs="Times New Roman"/>
                <w:lang w:val="en-US" w:eastAsia="en-US"/>
              </w:rPr>
              <w:t xml:space="preserve"> 12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601"/>
              <w:contextualSpacing/>
              <w:jc w:val="both"/>
              <w:rPr>
                <w:rFonts w:ascii="Times New Roman" w:hAnsi="Times New Roman" w:cs="Times New Roman"/>
                <w:lang w:val="en-US" w:eastAsia="en-US"/>
              </w:rPr>
            </w:pPr>
            <w:r w:rsidRPr="000B5388">
              <w:rPr>
                <w:rFonts w:ascii="Times New Roman" w:hAnsi="Times New Roman" w:cs="Times New Roman"/>
                <w:lang w:eastAsia="en-US"/>
              </w:rPr>
              <w:t>Видеокарта</w:t>
            </w:r>
            <w:r w:rsidRPr="000B5388">
              <w:rPr>
                <w:rFonts w:ascii="Times New Roman" w:hAnsi="Times New Roman" w:cs="Times New Roman"/>
                <w:lang w:val="en-US" w:eastAsia="en-US"/>
              </w:rPr>
              <w:t xml:space="preserve"> «Palit GeForce RTX 3060Ti (P/N:NE6306T019P2-190AD) </w:t>
            </w:r>
            <w:r w:rsidRPr="000B5388">
              <w:rPr>
                <w:rFonts w:ascii="Times New Roman" w:hAnsi="Times New Roman" w:cs="Times New Roman"/>
                <w:i/>
                <w:lang w:val="en-US" w:eastAsia="en-US"/>
              </w:rPr>
              <w:t>(«Palit GeForce RTX 3060Ti DUAL 8GB» – 408</w:t>
            </w:r>
            <w:r w:rsidRPr="000B5388">
              <w:rPr>
                <w:rFonts w:ascii="Times New Roman" w:hAnsi="Times New Roman" w:cs="Times New Roman"/>
                <w:i/>
                <w:lang w:eastAsia="en-US"/>
              </w:rPr>
              <w:t>шт</w:t>
            </w:r>
            <w:r w:rsidRPr="000B5388">
              <w:rPr>
                <w:rFonts w:ascii="Times New Roman" w:hAnsi="Times New Roman" w:cs="Times New Roman"/>
                <w:i/>
                <w:lang w:val="en-US" w:eastAsia="en-US"/>
              </w:rPr>
              <w:t>.,</w:t>
            </w:r>
            <w:r w:rsidRPr="000B5388">
              <w:rPr>
                <w:rFonts w:ascii="Times New Roman" w:hAnsi="Times New Roman" w:cs="Times New Roman"/>
                <w:i/>
                <w:lang w:val="en-US"/>
              </w:rPr>
              <w:t xml:space="preserve"> </w:t>
            </w:r>
            <w:r w:rsidRPr="000B5388">
              <w:rPr>
                <w:rFonts w:ascii="Times New Roman" w:hAnsi="Times New Roman" w:cs="Times New Roman"/>
                <w:i/>
                <w:lang w:val="en-US" w:eastAsia="en-US"/>
              </w:rPr>
              <w:t xml:space="preserve">«Palit GeForce RTX 3060Ti DUAL </w:t>
            </w:r>
            <w:r w:rsidRPr="000B5388">
              <w:rPr>
                <w:rFonts w:ascii="Times New Roman" w:hAnsi="Times New Roman" w:cs="Times New Roman"/>
                <w:i/>
                <w:lang w:val="en-US" w:eastAsia="en-US"/>
              </w:rPr>
              <w:lastRenderedPageBreak/>
              <w:t xml:space="preserve">12GB» - 20 </w:t>
            </w:r>
            <w:r w:rsidRPr="000B5388">
              <w:rPr>
                <w:rFonts w:ascii="Times New Roman" w:hAnsi="Times New Roman" w:cs="Times New Roman"/>
                <w:i/>
                <w:lang w:eastAsia="en-US"/>
              </w:rPr>
              <w:t>шт</w:t>
            </w:r>
            <w:r w:rsidRPr="000B5388">
              <w:rPr>
                <w:rFonts w:ascii="Times New Roman" w:hAnsi="Times New Roman" w:cs="Times New Roman"/>
                <w:i/>
                <w:lang w:val="en-US" w:eastAsia="en-US"/>
              </w:rPr>
              <w:t>.)</w:t>
            </w:r>
            <w:r w:rsidRPr="000B5388">
              <w:rPr>
                <w:rFonts w:ascii="Times New Roman" w:hAnsi="Times New Roman" w:cs="Times New Roman"/>
                <w:lang w:val="en-US" w:eastAsia="en-US"/>
              </w:rPr>
              <w:t xml:space="preserve"> . Made in China. </w:t>
            </w:r>
            <w:r w:rsidRPr="000B5388">
              <w:rPr>
                <w:rFonts w:ascii="Times New Roman" w:hAnsi="Times New Roman" w:cs="Times New Roman"/>
                <w:lang w:eastAsia="en-US"/>
              </w:rPr>
              <w:t>Всего</w:t>
            </w:r>
            <w:r w:rsidRPr="000B5388">
              <w:rPr>
                <w:rFonts w:ascii="Times New Roman" w:hAnsi="Times New Roman" w:cs="Times New Roman"/>
                <w:lang w:val="en-US" w:eastAsia="en-US"/>
              </w:rPr>
              <w:t xml:space="preserve"> 428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601"/>
              <w:contextualSpacing/>
              <w:jc w:val="both"/>
              <w:rPr>
                <w:rFonts w:ascii="Times New Roman" w:hAnsi="Times New Roman" w:cs="Times New Roman"/>
                <w:lang w:val="en-US" w:eastAsia="en-US"/>
              </w:rPr>
            </w:pPr>
            <w:r w:rsidRPr="000B5388">
              <w:rPr>
                <w:rFonts w:ascii="Times New Roman" w:hAnsi="Times New Roman" w:cs="Times New Roman"/>
                <w:lang w:eastAsia="en-US"/>
              </w:rPr>
              <w:t>Видеокарта</w:t>
            </w:r>
            <w:r w:rsidRPr="000B5388">
              <w:rPr>
                <w:rFonts w:ascii="Times New Roman" w:hAnsi="Times New Roman" w:cs="Times New Roman"/>
                <w:lang w:val="en-US" w:eastAsia="en-US"/>
              </w:rPr>
              <w:t xml:space="preserve"> «Palit GeForce RTX 2060 super DUAL 8GB» (P/N:NE6206S018P2-1160A-1). Made in China. </w:t>
            </w:r>
            <w:r w:rsidRPr="000B5388">
              <w:rPr>
                <w:rFonts w:ascii="Times New Roman" w:hAnsi="Times New Roman" w:cs="Times New Roman"/>
                <w:lang w:eastAsia="en-US"/>
              </w:rPr>
              <w:t>Всего</w:t>
            </w:r>
            <w:r w:rsidRPr="000B5388">
              <w:rPr>
                <w:rFonts w:ascii="Times New Roman" w:hAnsi="Times New Roman" w:cs="Times New Roman"/>
                <w:lang w:val="en-US" w:eastAsia="en-US"/>
              </w:rPr>
              <w:t xml:space="preserve"> 230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601"/>
              <w:contextualSpacing/>
              <w:jc w:val="both"/>
              <w:rPr>
                <w:rFonts w:ascii="Times New Roman" w:hAnsi="Times New Roman" w:cs="Times New Roman"/>
                <w:lang w:val="en-US" w:eastAsia="en-US"/>
              </w:rPr>
            </w:pPr>
            <w:r w:rsidRPr="000B5388">
              <w:rPr>
                <w:rFonts w:ascii="Times New Roman" w:hAnsi="Times New Roman" w:cs="Times New Roman"/>
                <w:lang w:eastAsia="en-US"/>
              </w:rPr>
              <w:t>Видеокарта</w:t>
            </w:r>
            <w:r w:rsidRPr="000B5388">
              <w:rPr>
                <w:rFonts w:ascii="Times New Roman" w:hAnsi="Times New Roman" w:cs="Times New Roman"/>
                <w:lang w:val="en-US" w:eastAsia="en-US"/>
              </w:rPr>
              <w:t xml:space="preserve"> «MSI GeForce RTX 2060 super VENTUS GP OC 8GB GDDR6». Made in China. </w:t>
            </w:r>
            <w:r w:rsidRPr="000B5388">
              <w:rPr>
                <w:rFonts w:ascii="Times New Roman" w:hAnsi="Times New Roman" w:cs="Times New Roman"/>
                <w:lang w:eastAsia="en-US"/>
              </w:rPr>
              <w:t>Всего</w:t>
            </w:r>
            <w:r w:rsidRPr="000B5388">
              <w:rPr>
                <w:rFonts w:ascii="Times New Roman" w:hAnsi="Times New Roman" w:cs="Times New Roman"/>
                <w:lang w:val="en-US" w:eastAsia="en-US"/>
              </w:rPr>
              <w:t xml:space="preserve"> 30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601"/>
              <w:contextualSpacing/>
              <w:jc w:val="both"/>
              <w:rPr>
                <w:rFonts w:ascii="Times New Roman" w:hAnsi="Times New Roman" w:cs="Times New Roman"/>
                <w:lang w:val="en-US" w:eastAsia="en-US"/>
              </w:rPr>
            </w:pPr>
            <w:r w:rsidRPr="000B5388">
              <w:rPr>
                <w:rFonts w:ascii="Times New Roman" w:hAnsi="Times New Roman" w:cs="Times New Roman"/>
                <w:lang w:eastAsia="en-US"/>
              </w:rPr>
              <w:t>Видеокарта</w:t>
            </w:r>
            <w:r w:rsidRPr="000B5388">
              <w:rPr>
                <w:rFonts w:ascii="Times New Roman" w:hAnsi="Times New Roman" w:cs="Times New Roman"/>
                <w:lang w:val="en-US" w:eastAsia="en-US"/>
              </w:rPr>
              <w:t xml:space="preserve"> «Palit GeForce RTX 3070Ti GAMEROCK 8GB GDDR6X 256bit 3-DP HDMI» (P/N:NED307T019P2-1047G). Made in China. </w:t>
            </w:r>
            <w:r w:rsidRPr="000B5388">
              <w:rPr>
                <w:rFonts w:ascii="Times New Roman" w:hAnsi="Times New Roman" w:cs="Times New Roman"/>
                <w:lang w:eastAsia="en-US"/>
              </w:rPr>
              <w:t>Всего</w:t>
            </w:r>
            <w:r w:rsidRPr="000B5388">
              <w:rPr>
                <w:rFonts w:ascii="Times New Roman" w:hAnsi="Times New Roman" w:cs="Times New Roman"/>
                <w:lang w:val="en-US" w:eastAsia="en-US"/>
              </w:rPr>
              <w:t xml:space="preserve"> 40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601"/>
              <w:contextualSpacing/>
              <w:jc w:val="both"/>
              <w:rPr>
                <w:rFonts w:ascii="Times New Roman" w:hAnsi="Times New Roman" w:cs="Times New Roman"/>
                <w:lang w:val="en-US" w:eastAsia="en-US"/>
              </w:rPr>
            </w:pPr>
            <w:r w:rsidRPr="000B5388">
              <w:rPr>
                <w:rFonts w:ascii="Times New Roman" w:hAnsi="Times New Roman" w:cs="Times New Roman"/>
                <w:lang w:eastAsia="en-US"/>
              </w:rPr>
              <w:t>Видеокарта</w:t>
            </w:r>
            <w:r w:rsidRPr="000B5388">
              <w:rPr>
                <w:rFonts w:ascii="Times New Roman" w:hAnsi="Times New Roman" w:cs="Times New Roman"/>
                <w:lang w:val="en-US" w:eastAsia="en-US"/>
              </w:rPr>
              <w:t xml:space="preserve"> «GIGABYTE GeForce RTX 2060 super WINDFORCE OC8GB GDDR6». Made in China. </w:t>
            </w:r>
            <w:r w:rsidRPr="000B5388">
              <w:rPr>
                <w:rFonts w:ascii="Times New Roman" w:hAnsi="Times New Roman" w:cs="Times New Roman"/>
                <w:lang w:eastAsia="en-US"/>
              </w:rPr>
              <w:t>Всего</w:t>
            </w:r>
            <w:r w:rsidRPr="000B5388">
              <w:rPr>
                <w:rFonts w:ascii="Times New Roman" w:hAnsi="Times New Roman" w:cs="Times New Roman"/>
                <w:lang w:val="en-US" w:eastAsia="en-US"/>
              </w:rPr>
              <w:t xml:space="preserve"> 100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6501EE" w:rsidRPr="000B5388" w:rsidRDefault="000B5388" w:rsidP="000B5388">
            <w:pPr>
              <w:ind w:firstLine="176"/>
              <w:contextualSpacing/>
              <w:jc w:val="both"/>
              <w:rPr>
                <w:rFonts w:ascii="Times New Roman" w:hAnsi="Times New Roman" w:cs="Times New Roman"/>
                <w:sz w:val="24"/>
                <w:szCs w:val="24"/>
                <w:lang w:eastAsia="en-US"/>
              </w:rPr>
            </w:pPr>
            <w:r w:rsidRPr="000B5388">
              <w:rPr>
                <w:rFonts w:ascii="Times New Roman" w:hAnsi="Times New Roman" w:cs="Times New Roman"/>
                <w:lang w:eastAsia="en-US"/>
              </w:rPr>
              <w:t>Процессор</w:t>
            </w:r>
            <w:r w:rsidRPr="000B5388">
              <w:rPr>
                <w:rFonts w:ascii="Times New Roman" w:hAnsi="Times New Roman" w:cs="Times New Roman"/>
                <w:lang w:val="en-US" w:eastAsia="en-US"/>
              </w:rPr>
              <w:t xml:space="preserve"> «Intel R core tm i5», «i5-10400F», «SRH3D 2.90GHZ», «V147I071 e4» - 50 </w:t>
            </w:r>
            <w:r w:rsidRPr="000B5388">
              <w:rPr>
                <w:rFonts w:ascii="Times New Roman" w:hAnsi="Times New Roman" w:cs="Times New Roman"/>
                <w:lang w:eastAsia="en-US"/>
              </w:rPr>
              <w:t>шт</w:t>
            </w:r>
            <w:r>
              <w:rPr>
                <w:rFonts w:ascii="Times New Roman" w:hAnsi="Times New Roman" w:cs="Times New Roman"/>
                <w:lang w:val="en-US" w:eastAsia="en-US"/>
              </w:rPr>
              <w:t>.</w:t>
            </w:r>
            <w:r w:rsidRPr="000B5388">
              <w:rPr>
                <w:rFonts w:ascii="Times New Roman" w:hAnsi="Times New Roman" w:cs="Times New Roman"/>
                <w:lang w:val="en-US" w:eastAsia="en-US"/>
              </w:rPr>
              <w:t xml:space="preserve"> </w:t>
            </w:r>
            <w:r>
              <w:rPr>
                <w:rFonts w:ascii="Times New Roman" w:hAnsi="Times New Roman" w:cs="Times New Roman"/>
                <w:lang w:eastAsia="en-US"/>
              </w:rPr>
              <w:t>Всего 890 шт. П.15-2023-З</w:t>
            </w:r>
          </w:p>
        </w:tc>
        <w:tc>
          <w:tcPr>
            <w:tcW w:w="1842" w:type="dxa"/>
            <w:vAlign w:val="center"/>
          </w:tcPr>
          <w:p w:rsidR="006501EE" w:rsidRPr="000B5388" w:rsidRDefault="005C4DCB"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18104353,82</w:t>
            </w:r>
          </w:p>
        </w:tc>
        <w:tc>
          <w:tcPr>
            <w:tcW w:w="1418" w:type="dxa"/>
            <w:vAlign w:val="center"/>
          </w:tcPr>
          <w:p w:rsidR="006501EE" w:rsidRPr="000B5388" w:rsidRDefault="005C4DCB" w:rsidP="006501EE">
            <w:pPr>
              <w:ind w:left="-77" w:right="-88"/>
              <w:jc w:val="center"/>
              <w:rPr>
                <w:rFonts w:ascii="Times New Roman" w:hAnsi="Times New Roman" w:cs="Times New Roman"/>
              </w:rPr>
            </w:pPr>
            <w:r>
              <w:rPr>
                <w:rFonts w:ascii="Times New Roman" w:hAnsi="Times New Roman" w:cs="Times New Roman"/>
              </w:rPr>
              <w:t>1810435,38</w:t>
            </w:r>
          </w:p>
        </w:tc>
        <w:tc>
          <w:tcPr>
            <w:tcW w:w="1530" w:type="dxa"/>
            <w:vAlign w:val="center"/>
          </w:tcPr>
          <w:p w:rsidR="006501EE" w:rsidRPr="000B5388" w:rsidRDefault="005C4DCB" w:rsidP="006501EE">
            <w:pPr>
              <w:ind w:left="-86" w:right="-85"/>
              <w:jc w:val="center"/>
              <w:rPr>
                <w:rFonts w:ascii="Times New Roman" w:hAnsi="Times New Roman" w:cs="Times New Roman"/>
              </w:rPr>
            </w:pPr>
            <w:r>
              <w:rPr>
                <w:rFonts w:ascii="Times New Roman" w:hAnsi="Times New Roman" w:cs="Times New Roman"/>
              </w:rPr>
              <w:t>181043,54</w:t>
            </w:r>
          </w:p>
        </w:tc>
      </w:tr>
      <w:tr w:rsidR="006501EE" w:rsidRPr="00EA6744" w:rsidTr="00F4573F">
        <w:trPr>
          <w:trHeight w:val="841"/>
        </w:trPr>
        <w:tc>
          <w:tcPr>
            <w:tcW w:w="567" w:type="dxa"/>
            <w:vMerge/>
            <w:vAlign w:val="center"/>
          </w:tcPr>
          <w:p w:rsidR="006501EE" w:rsidRPr="000B5388" w:rsidRDefault="006501EE" w:rsidP="006501EE">
            <w:pPr>
              <w:pStyle w:val="a5"/>
              <w:ind w:left="0"/>
              <w:rPr>
                <w:rFonts w:ascii="Times New Roman" w:hAnsi="Times New Roman" w:cs="Times New Roman"/>
              </w:rPr>
            </w:pPr>
          </w:p>
        </w:tc>
        <w:tc>
          <w:tcPr>
            <w:tcW w:w="1630" w:type="dxa"/>
            <w:vMerge/>
            <w:vAlign w:val="center"/>
          </w:tcPr>
          <w:p w:rsidR="006501EE" w:rsidRPr="000B5388" w:rsidRDefault="006501EE" w:rsidP="006501EE">
            <w:pPr>
              <w:ind w:left="-88" w:right="-103"/>
              <w:jc w:val="center"/>
              <w:rPr>
                <w:rFonts w:ascii="Times New Roman" w:hAnsi="Times New Roman" w:cs="Times New Roman"/>
              </w:rPr>
            </w:pPr>
          </w:p>
        </w:tc>
        <w:tc>
          <w:tcPr>
            <w:tcW w:w="384" w:type="dxa"/>
            <w:vAlign w:val="center"/>
          </w:tcPr>
          <w:p w:rsidR="006501EE" w:rsidRDefault="00C84E0A"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0B5388" w:rsidRPr="000B5388" w:rsidRDefault="00D854E8" w:rsidP="000B5388">
            <w:pPr>
              <w:ind w:firstLine="176"/>
              <w:contextualSpacing/>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000B5388" w:rsidRPr="000B5388">
              <w:rPr>
                <w:rFonts w:ascii="Times New Roman" w:hAnsi="Times New Roman" w:cs="Times New Roman"/>
                <w:lang w:eastAsia="en-US"/>
              </w:rPr>
              <w:t>Рукоятка для лазерного аппарата «Universal IPL» «SA-102635012» «2202102» в комплекте со стерилизуемым наглазником в автоклаве «Р07Р1Р111001» «laservision» - 1 шт.;</w:t>
            </w:r>
          </w:p>
          <w:p w:rsidR="000B5388" w:rsidRPr="000B5388" w:rsidRDefault="000B5388" w:rsidP="000B5388">
            <w:pPr>
              <w:ind w:firstLine="176"/>
              <w:contextualSpacing/>
              <w:jc w:val="both"/>
              <w:rPr>
                <w:rFonts w:ascii="Times New Roman" w:hAnsi="Times New Roman" w:cs="Times New Roman"/>
                <w:lang w:eastAsia="en-US"/>
              </w:rPr>
            </w:pPr>
            <w:r w:rsidRPr="000B5388">
              <w:rPr>
                <w:rFonts w:ascii="Times New Roman" w:hAnsi="Times New Roman" w:cs="Times New Roman"/>
                <w:lang w:eastAsia="en-US"/>
              </w:rPr>
              <w:t>Рукоятка для лазерного аппарата «Q-Switched Nd:YAG» «LASER APERTURE LB-003632» «2202102» в комплекте с защитными очками – 2 шт.;</w:t>
            </w:r>
          </w:p>
          <w:p w:rsidR="000B5388" w:rsidRPr="000B5388" w:rsidRDefault="000B5388" w:rsidP="000B5388">
            <w:pPr>
              <w:ind w:firstLine="176"/>
              <w:contextualSpacing/>
              <w:jc w:val="both"/>
              <w:rPr>
                <w:rFonts w:ascii="Times New Roman" w:hAnsi="Times New Roman" w:cs="Times New Roman"/>
                <w:lang w:val="en-US" w:eastAsia="en-US"/>
              </w:rPr>
            </w:pPr>
            <w:r w:rsidRPr="000B5388">
              <w:rPr>
                <w:rFonts w:ascii="Times New Roman" w:hAnsi="Times New Roman" w:cs="Times New Roman"/>
                <w:lang w:eastAsia="en-US"/>
              </w:rPr>
              <w:t>Рукоятка</w:t>
            </w:r>
            <w:r w:rsidRPr="000B5388">
              <w:rPr>
                <w:rFonts w:ascii="Times New Roman" w:hAnsi="Times New Roman" w:cs="Times New Roman"/>
                <w:lang w:val="en-US" w:eastAsia="en-US"/>
              </w:rPr>
              <w:t xml:space="preserve"> </w:t>
            </w:r>
            <w:r w:rsidRPr="000B5388">
              <w:rPr>
                <w:rFonts w:ascii="Times New Roman" w:hAnsi="Times New Roman" w:cs="Times New Roman"/>
                <w:lang w:eastAsia="en-US"/>
              </w:rPr>
              <w:t>для</w:t>
            </w:r>
            <w:r w:rsidRPr="000B5388">
              <w:rPr>
                <w:rFonts w:ascii="Times New Roman" w:hAnsi="Times New Roman" w:cs="Times New Roman"/>
                <w:lang w:val="en-US" w:eastAsia="en-US"/>
              </w:rPr>
              <w:t xml:space="preserve"> </w:t>
            </w:r>
            <w:r w:rsidRPr="000B5388">
              <w:rPr>
                <w:rFonts w:ascii="Times New Roman" w:hAnsi="Times New Roman" w:cs="Times New Roman"/>
                <w:lang w:eastAsia="en-US"/>
              </w:rPr>
              <w:t>лазерного</w:t>
            </w:r>
            <w:r w:rsidRPr="000B5388">
              <w:rPr>
                <w:rFonts w:ascii="Times New Roman" w:hAnsi="Times New Roman" w:cs="Times New Roman"/>
                <w:lang w:val="en-US" w:eastAsia="en-US"/>
              </w:rPr>
              <w:t xml:space="preserve"> RADIATION APERTURE LB-00002750_A» - 1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176"/>
              <w:contextualSpacing/>
              <w:jc w:val="both"/>
              <w:rPr>
                <w:rFonts w:ascii="Times New Roman" w:hAnsi="Times New Roman" w:cs="Times New Roman"/>
                <w:lang w:eastAsia="en-US"/>
              </w:rPr>
            </w:pPr>
            <w:r w:rsidRPr="000B5388">
              <w:rPr>
                <w:rFonts w:ascii="Times New Roman" w:hAnsi="Times New Roman" w:cs="Times New Roman"/>
                <w:lang w:eastAsia="en-US"/>
              </w:rPr>
              <w:t>Металлические наконечники без маркировки – 2 шт.;</w:t>
            </w:r>
          </w:p>
          <w:p w:rsidR="000B5388" w:rsidRPr="000B5388" w:rsidRDefault="000B5388" w:rsidP="000B5388">
            <w:pPr>
              <w:ind w:firstLine="176"/>
              <w:contextualSpacing/>
              <w:jc w:val="both"/>
              <w:rPr>
                <w:rFonts w:ascii="Times New Roman" w:hAnsi="Times New Roman" w:cs="Times New Roman"/>
                <w:lang w:val="en-US" w:eastAsia="en-US"/>
              </w:rPr>
            </w:pPr>
            <w:r w:rsidRPr="000B5388">
              <w:rPr>
                <w:rFonts w:ascii="Times New Roman" w:hAnsi="Times New Roman" w:cs="Times New Roman"/>
                <w:lang w:eastAsia="en-US"/>
              </w:rPr>
              <w:t>Аппарат</w:t>
            </w:r>
            <w:r w:rsidRPr="000B5388">
              <w:rPr>
                <w:rFonts w:ascii="Times New Roman" w:hAnsi="Times New Roman" w:cs="Times New Roman"/>
                <w:lang w:val="en-US" w:eastAsia="en-US"/>
              </w:rPr>
              <w:t xml:space="preserve"> «LUMENIS» «OPHIR PHOTONICS» «Q-Switched Nd:YAG Calibration Device No SA-1033835» «P/N :7Y0666» Made in ISRAEL – 1 </w:t>
            </w:r>
            <w:r w:rsidRPr="000B5388">
              <w:rPr>
                <w:rFonts w:ascii="Times New Roman" w:hAnsi="Times New Roman" w:cs="Times New Roman"/>
                <w:lang w:eastAsia="en-US"/>
              </w:rPr>
              <w:t>шт</w:t>
            </w:r>
            <w:r w:rsidRPr="000B5388">
              <w:rPr>
                <w:rFonts w:ascii="Times New Roman" w:hAnsi="Times New Roman" w:cs="Times New Roman"/>
                <w:lang w:val="en-US" w:eastAsia="en-US"/>
              </w:rPr>
              <w:t>.</w:t>
            </w:r>
          </w:p>
          <w:p w:rsidR="000B5388" w:rsidRPr="000B5388" w:rsidRDefault="000B5388" w:rsidP="000B5388">
            <w:pPr>
              <w:ind w:firstLine="176"/>
              <w:contextualSpacing/>
              <w:jc w:val="both"/>
              <w:rPr>
                <w:rFonts w:ascii="Times New Roman" w:hAnsi="Times New Roman" w:cs="Times New Roman"/>
                <w:lang w:eastAsia="en-US"/>
              </w:rPr>
            </w:pPr>
            <w:r w:rsidRPr="000B5388">
              <w:rPr>
                <w:rFonts w:ascii="Times New Roman" w:hAnsi="Times New Roman" w:cs="Times New Roman"/>
                <w:lang w:eastAsia="en-US"/>
              </w:rPr>
              <w:t>Фильтры IPL (560 nm)-9 шт.</w:t>
            </w:r>
          </w:p>
          <w:p w:rsidR="006501EE" w:rsidRPr="000773F5" w:rsidRDefault="000B5388" w:rsidP="000B5388">
            <w:pPr>
              <w:jc w:val="both"/>
              <w:rPr>
                <w:rFonts w:ascii="Times New Roman" w:hAnsi="Times New Roman" w:cs="Times New Roman"/>
                <w:lang w:eastAsia="en-US"/>
              </w:rPr>
            </w:pPr>
            <w:r w:rsidRPr="000B5388">
              <w:rPr>
                <w:rFonts w:ascii="Times New Roman" w:hAnsi="Times New Roman" w:cs="Times New Roman"/>
                <w:lang w:eastAsia="en-US"/>
              </w:rPr>
              <w:t>Наглазники металлические «PROTECT No: 600-AUGK-M-APP-M» (6 упаковок по 2 шт. в каждой )– 12 шт.</w:t>
            </w:r>
            <w:r>
              <w:rPr>
                <w:rFonts w:ascii="Times New Roman" w:hAnsi="Times New Roman" w:cs="Times New Roman"/>
                <w:lang w:eastAsia="en-US"/>
              </w:rPr>
              <w:t xml:space="preserve"> Всего 28 шт. П.18-2023-З</w:t>
            </w:r>
          </w:p>
        </w:tc>
        <w:tc>
          <w:tcPr>
            <w:tcW w:w="1842" w:type="dxa"/>
            <w:vAlign w:val="center"/>
          </w:tcPr>
          <w:p w:rsidR="006501EE" w:rsidRPr="00EA6744" w:rsidRDefault="005C4DCB"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2589200,02</w:t>
            </w:r>
          </w:p>
        </w:tc>
        <w:tc>
          <w:tcPr>
            <w:tcW w:w="1418" w:type="dxa"/>
            <w:vAlign w:val="center"/>
          </w:tcPr>
          <w:p w:rsidR="006501EE" w:rsidRPr="002F0D54" w:rsidRDefault="005C4DCB" w:rsidP="006501EE">
            <w:pPr>
              <w:ind w:left="-77" w:right="-88"/>
              <w:jc w:val="center"/>
              <w:rPr>
                <w:rFonts w:ascii="Times New Roman" w:hAnsi="Times New Roman" w:cs="Times New Roman"/>
              </w:rPr>
            </w:pPr>
            <w:r>
              <w:rPr>
                <w:rFonts w:ascii="Times New Roman" w:hAnsi="Times New Roman" w:cs="Times New Roman"/>
              </w:rPr>
              <w:t>258920,00</w:t>
            </w:r>
          </w:p>
        </w:tc>
        <w:tc>
          <w:tcPr>
            <w:tcW w:w="1530" w:type="dxa"/>
            <w:vAlign w:val="center"/>
          </w:tcPr>
          <w:p w:rsidR="006501EE" w:rsidRPr="002F0D54" w:rsidRDefault="005C4DCB" w:rsidP="006501EE">
            <w:pPr>
              <w:ind w:left="-86" w:right="-85"/>
              <w:jc w:val="center"/>
              <w:rPr>
                <w:rFonts w:ascii="Times New Roman" w:hAnsi="Times New Roman" w:cs="Times New Roman"/>
              </w:rPr>
            </w:pPr>
            <w:r>
              <w:rPr>
                <w:rFonts w:ascii="Times New Roman" w:hAnsi="Times New Roman" w:cs="Times New Roman"/>
              </w:rPr>
              <w:t>25892,00</w:t>
            </w:r>
            <w:bookmarkStart w:id="0" w:name="_GoBack"/>
            <w:bookmarkEnd w:id="0"/>
          </w:p>
        </w:tc>
      </w:tr>
      <w:tr w:rsidR="006501EE" w:rsidRPr="00BE466E" w:rsidTr="00982E8A">
        <w:trPr>
          <w:trHeight w:val="1020"/>
        </w:trPr>
        <w:tc>
          <w:tcPr>
            <w:tcW w:w="567" w:type="dxa"/>
            <w:vAlign w:val="center"/>
          </w:tcPr>
          <w:p w:rsidR="006501EE" w:rsidRPr="00105351"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105351" w:rsidRDefault="006501EE" w:rsidP="006501EE">
            <w:pPr>
              <w:ind w:left="-88" w:right="-103"/>
              <w:jc w:val="center"/>
              <w:rPr>
                <w:rFonts w:ascii="Times New Roman" w:hAnsi="Times New Roman" w:cs="Times New Roman"/>
              </w:rPr>
            </w:pPr>
          </w:p>
        </w:tc>
        <w:tc>
          <w:tcPr>
            <w:tcW w:w="8576" w:type="dxa"/>
            <w:gridSpan w:val="5"/>
            <w:vAlign w:val="center"/>
          </w:tcPr>
          <w:p w:rsidR="006501EE" w:rsidRPr="00105351"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0B5388" w:rsidRDefault="000B5388" w:rsidP="006501EE">
            <w:pPr>
              <w:pStyle w:val="af1"/>
              <w:shd w:val="clear" w:color="auto" w:fill="auto"/>
              <w:ind w:firstLine="0"/>
              <w:rPr>
                <w:bCs/>
                <w:lang w:eastAsia="en-US"/>
              </w:rPr>
            </w:pPr>
            <w:r w:rsidRPr="00E4579F">
              <w:rPr>
                <w:bCs/>
                <w:lang w:eastAsia="en-US"/>
              </w:rPr>
              <w:t>г. Москва, Киевское шоссе, 22-ой км.(п. Московский), домовладение 4, стр. 1, эт. 9, блок Б.</w:t>
            </w:r>
          </w:p>
          <w:p w:rsidR="00B531E9" w:rsidRDefault="00B531E9" w:rsidP="006501EE">
            <w:pPr>
              <w:pStyle w:val="af1"/>
              <w:shd w:val="clear" w:color="auto" w:fill="auto"/>
              <w:ind w:firstLine="0"/>
              <w:rPr>
                <w:b/>
              </w:rPr>
            </w:pPr>
            <w:r>
              <w:rPr>
                <w:b/>
              </w:rPr>
              <w:t>Имущество задержано таможенными органами.</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5C4DCB">
              <w:rPr>
                <w:rFonts w:ascii="Times New Roman" w:hAnsi="Times New Roman" w:cs="Times New Roman"/>
              </w:rPr>
              <w:t>24</w:t>
            </w:r>
            <w:r>
              <w:rPr>
                <w:rFonts w:ascii="Times New Roman" w:hAnsi="Times New Roman" w:cs="Times New Roman"/>
              </w:rPr>
              <w:t>.</w:t>
            </w:r>
            <w:r w:rsidR="000570AF">
              <w:rPr>
                <w:rFonts w:ascii="Times New Roman" w:hAnsi="Times New Roman" w:cs="Times New Roman"/>
              </w:rPr>
              <w:t>0</w:t>
            </w:r>
            <w:r w:rsidR="00E6390E">
              <w:rPr>
                <w:rFonts w:ascii="Times New Roman" w:hAnsi="Times New Roman" w:cs="Times New Roman"/>
              </w:rPr>
              <w:t>3</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5C4DCB" w:rsidP="006501EE">
            <w:pPr>
              <w:spacing w:after="5" w:line="271" w:lineRule="auto"/>
              <w:ind w:right="182" w:firstLine="412"/>
              <w:jc w:val="both"/>
              <w:rPr>
                <w:rFonts w:ascii="Times New Roman" w:hAnsi="Times New Roman" w:cs="Times New Roman"/>
              </w:rPr>
            </w:pPr>
            <w:r>
              <w:rPr>
                <w:rFonts w:ascii="Times New Roman" w:hAnsi="Times New Roman" w:cs="Times New Roman"/>
              </w:rPr>
              <w:t>20</w:t>
            </w:r>
            <w:r w:rsidR="006501EE">
              <w:rPr>
                <w:rFonts w:ascii="Times New Roman" w:hAnsi="Times New Roman" w:cs="Times New Roman"/>
              </w:rPr>
              <w:t>.</w:t>
            </w:r>
            <w:r w:rsidR="00F3516F">
              <w:rPr>
                <w:rFonts w:ascii="Times New Roman" w:hAnsi="Times New Roman" w:cs="Times New Roman"/>
              </w:rPr>
              <w:t>0</w:t>
            </w:r>
            <w:r w:rsidR="00E6390E">
              <w:rPr>
                <w:rFonts w:ascii="Times New Roman" w:hAnsi="Times New Roman" w:cs="Times New Roman"/>
              </w:rPr>
              <w:t>4</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5C4DCB">
            <w:pPr>
              <w:jc w:val="center"/>
              <w:rPr>
                <w:rFonts w:ascii="Times New Roman" w:hAnsi="Times New Roman" w:cs="Times New Roman"/>
              </w:rPr>
            </w:pPr>
            <w:r>
              <w:rPr>
                <w:rFonts w:ascii="Times New Roman" w:hAnsi="Times New Roman" w:cs="Times New Roman"/>
              </w:rPr>
              <w:t xml:space="preserve">С </w:t>
            </w:r>
            <w:r w:rsidR="005C4DCB">
              <w:rPr>
                <w:rFonts w:ascii="Times New Roman" w:hAnsi="Times New Roman" w:cs="Times New Roman"/>
              </w:rPr>
              <w:t>25</w:t>
            </w:r>
            <w:r w:rsidRPr="00BE466E">
              <w:rPr>
                <w:rFonts w:ascii="Times New Roman" w:hAnsi="Times New Roman" w:cs="Times New Roman"/>
              </w:rPr>
              <w:t>.</w:t>
            </w:r>
            <w:r w:rsidR="00F4573F">
              <w:rPr>
                <w:rFonts w:ascii="Times New Roman" w:hAnsi="Times New Roman" w:cs="Times New Roman"/>
              </w:rPr>
              <w:t>0</w:t>
            </w:r>
            <w:r w:rsidR="00E6390E">
              <w:rPr>
                <w:rFonts w:ascii="Times New Roman" w:hAnsi="Times New Roman" w:cs="Times New Roman"/>
              </w:rPr>
              <w:t>4</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5C4DCB" w:rsidP="006501EE">
            <w:pPr>
              <w:jc w:val="center"/>
              <w:rPr>
                <w:rFonts w:ascii="Times New Roman" w:hAnsi="Times New Roman" w:cs="Times New Roman"/>
              </w:rPr>
            </w:pPr>
            <w:r>
              <w:rPr>
                <w:rFonts w:ascii="Times New Roman" w:hAnsi="Times New Roman" w:cs="Times New Roman"/>
              </w:rPr>
              <w:t>27</w:t>
            </w:r>
            <w:r w:rsidR="006501EE" w:rsidRPr="00BE466E">
              <w:rPr>
                <w:rFonts w:ascii="Times New Roman" w:hAnsi="Times New Roman" w:cs="Times New Roman"/>
              </w:rPr>
              <w:t>.</w:t>
            </w:r>
            <w:r w:rsidR="00521CC8">
              <w:rPr>
                <w:rFonts w:ascii="Times New Roman" w:hAnsi="Times New Roman" w:cs="Times New Roman"/>
              </w:rPr>
              <w:t>0</w:t>
            </w:r>
            <w:r w:rsidR="0003041C">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5C4DCB" w:rsidP="006501EE">
            <w:pPr>
              <w:jc w:val="center"/>
              <w:rPr>
                <w:rFonts w:ascii="Times New Roman" w:hAnsi="Times New Roman" w:cs="Times New Roman"/>
              </w:rPr>
            </w:pPr>
            <w:r>
              <w:rPr>
                <w:rFonts w:ascii="Times New Roman" w:hAnsi="Times New Roman" w:cs="Times New Roman"/>
              </w:rPr>
              <w:t>27</w:t>
            </w:r>
            <w:r w:rsidR="00521CC8">
              <w:rPr>
                <w:rFonts w:ascii="Times New Roman" w:hAnsi="Times New Roman" w:cs="Times New Roman"/>
              </w:rPr>
              <w:t>.0</w:t>
            </w:r>
            <w:r w:rsidR="0003041C">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5C4DCB">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на </w:t>
            </w:r>
            <w:r w:rsidR="005C4DCB">
              <w:rPr>
                <w:rFonts w:ascii="Times New Roman" w:hAnsi="Times New Roman" w:cs="Times New Roman"/>
                <w:color w:val="000000" w:themeColor="text1"/>
              </w:rPr>
              <w:t>9</w:t>
            </w:r>
            <w:r w:rsidRPr="000D21A6">
              <w:rPr>
                <w:rFonts w:ascii="Times New Roman" w:hAnsi="Times New Roman" w:cs="Times New Roman"/>
                <w:color w:val="000000" w:themeColor="text1"/>
              </w:rPr>
              <w:t xml:space="preserve">0%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5C4DCB" w:rsidP="006501EE">
            <w:pPr>
              <w:jc w:val="center"/>
              <w:rPr>
                <w:rFonts w:ascii="Times New Roman" w:hAnsi="Times New Roman" w:cs="Times New Roman"/>
                <w:color w:val="000000" w:themeColor="text1"/>
              </w:rPr>
            </w:pPr>
            <w:r>
              <w:rPr>
                <w:rFonts w:ascii="Times New Roman" w:hAnsi="Times New Roman" w:cs="Times New Roman"/>
                <w:color w:val="000000" w:themeColor="text1"/>
              </w:rPr>
              <w:t>07</w:t>
            </w:r>
            <w:r w:rsidR="006501EE">
              <w:rPr>
                <w:rFonts w:ascii="Times New Roman" w:hAnsi="Times New Roman" w:cs="Times New Roman"/>
                <w:color w:val="000000" w:themeColor="text1"/>
              </w:rPr>
              <w:t>.</w:t>
            </w:r>
            <w:r w:rsidR="000570AF">
              <w:rPr>
                <w:rFonts w:ascii="Times New Roman" w:hAnsi="Times New Roman" w:cs="Times New Roman"/>
                <w:color w:val="000000" w:themeColor="text1"/>
              </w:rPr>
              <w:t>0</w:t>
            </w:r>
            <w:r>
              <w:rPr>
                <w:rFonts w:ascii="Times New Roman" w:hAnsi="Times New Roman" w:cs="Times New Roman"/>
                <w:color w:val="000000" w:themeColor="text1"/>
              </w:rPr>
              <w:t>4</w:t>
            </w:r>
            <w:r w:rsidR="006501EE" w:rsidRPr="008367E3">
              <w:rPr>
                <w:rFonts w:ascii="Times New Roman" w:hAnsi="Times New Roman" w:cs="Times New Roman"/>
                <w:color w:val="000000" w:themeColor="text1"/>
              </w:rPr>
              <w:t>.202</w:t>
            </w:r>
            <w:r w:rsidR="000570AF">
              <w:rPr>
                <w:rFonts w:ascii="Times New Roman" w:hAnsi="Times New Roman" w:cs="Times New Roman"/>
                <w:color w:val="000000" w:themeColor="text1"/>
              </w:rPr>
              <w:t>3</w:t>
            </w:r>
            <w:r w:rsidR="006501EE" w:rsidRPr="008367E3">
              <w:rPr>
                <w:rFonts w:ascii="Times New Roman" w:hAnsi="Times New Roman" w:cs="Times New Roman"/>
                <w:color w:val="000000" w:themeColor="text1"/>
              </w:rPr>
              <w:t>г.</w:t>
            </w:r>
          </w:p>
          <w:p w:rsidR="006501EE" w:rsidRPr="000D21A6" w:rsidRDefault="006501EE" w:rsidP="005C4DCB">
            <w:pPr>
              <w:jc w:val="both"/>
              <w:rPr>
                <w:rFonts w:ascii="Times New Roman" w:hAnsi="Times New Roman" w:cs="Times New Roman"/>
              </w:rPr>
            </w:pPr>
            <w:r w:rsidRPr="000D21A6">
              <w:rPr>
                <w:rFonts w:ascii="Times New Roman" w:hAnsi="Times New Roman" w:cs="Times New Roman"/>
                <w:color w:val="000000" w:themeColor="text1"/>
              </w:rPr>
              <w:t xml:space="preserve">В случае, если в течение 10 рабочих дней с момента размещения информационного сообщения о проведении аукциона </w:t>
            </w:r>
            <w:r>
              <w:rPr>
                <w:rFonts w:ascii="Times New Roman" w:hAnsi="Times New Roman" w:cs="Times New Roman"/>
                <w:color w:val="000000" w:themeColor="text1"/>
              </w:rPr>
              <w:t xml:space="preserve"> не поступило ни одной заявки, </w:t>
            </w:r>
            <w:r w:rsidRPr="000D21A6">
              <w:rPr>
                <w:rFonts w:ascii="Times New Roman" w:hAnsi="Times New Roman" w:cs="Times New Roman"/>
                <w:color w:val="000000" w:themeColor="text1"/>
              </w:rPr>
              <w:t>продавец в течени</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Pr="000D21A6">
              <w:rPr>
                <w:rFonts w:ascii="Times New Roman" w:hAnsi="Times New Roman" w:cs="Times New Roman"/>
                <w:color w:val="000000" w:themeColor="text1"/>
              </w:rPr>
              <w:t xml:space="preserve"> рабочих дней фиксирует</w:t>
            </w:r>
            <w:r>
              <w:rPr>
                <w:rFonts w:ascii="Times New Roman" w:hAnsi="Times New Roman" w:cs="Times New Roman"/>
                <w:color w:val="000000" w:themeColor="text1"/>
              </w:rPr>
              <w:t xml:space="preserve"> </w:t>
            </w:r>
            <w:r w:rsidRPr="000D21A6">
              <w:rPr>
                <w:rFonts w:ascii="Times New Roman" w:hAnsi="Times New Roman" w:cs="Times New Roman"/>
                <w:color w:val="000000" w:themeColor="text1"/>
              </w:rPr>
              <w:t xml:space="preserve">результаты в протоколе </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размещает повторное информационное сообщение о проведении аукциона, в котором указывает о снижении начальной цены продажи имущества на </w:t>
            </w:r>
            <w:r w:rsidR="005C4DCB">
              <w:rPr>
                <w:rFonts w:ascii="Times New Roman" w:hAnsi="Times New Roman" w:cs="Times New Roman"/>
                <w:color w:val="000000" w:themeColor="text1"/>
              </w:rPr>
              <w:t>9</w:t>
            </w:r>
            <w:r w:rsidRPr="000D21A6">
              <w:rPr>
                <w:rFonts w:ascii="Times New Roman" w:hAnsi="Times New Roman" w:cs="Times New Roman"/>
                <w:color w:val="000000" w:themeColor="text1"/>
              </w:rPr>
              <w:t>0%. Информационное сообщение размещается на официальн</w:t>
            </w:r>
            <w:r>
              <w:rPr>
                <w:rFonts w:ascii="Times New Roman" w:hAnsi="Times New Roman" w:cs="Times New Roman"/>
                <w:color w:val="000000" w:themeColor="text1"/>
              </w:rPr>
              <w:t>ом</w:t>
            </w:r>
            <w:r w:rsidRPr="000D21A6">
              <w:rPr>
                <w:rFonts w:ascii="Times New Roman" w:hAnsi="Times New Roman" w:cs="Times New Roman"/>
                <w:color w:val="000000" w:themeColor="text1"/>
              </w:rPr>
              <w:t xml:space="preserve"> сайт</w:t>
            </w:r>
            <w:r>
              <w:rPr>
                <w:rFonts w:ascii="Times New Roman" w:hAnsi="Times New Roman" w:cs="Times New Roman"/>
                <w:color w:val="000000" w:themeColor="text1"/>
              </w:rPr>
              <w:t>е</w:t>
            </w:r>
            <w:r w:rsidRPr="000D21A6">
              <w:rPr>
                <w:rFonts w:ascii="Times New Roman" w:hAnsi="Times New Roman" w:cs="Times New Roman"/>
                <w:color w:val="000000" w:themeColor="text1"/>
              </w:rPr>
              <w:t xml:space="preserve"> в сети «Интернет»</w:t>
            </w:r>
            <w:r>
              <w:rPr>
                <w:rFonts w:ascii="Times New Roman" w:hAnsi="Times New Roman" w:cs="Times New Roman"/>
                <w:color w:val="000000" w:themeColor="text1"/>
              </w:rPr>
              <w:t xml:space="preserve"> в течении 5 рабочих дней</w:t>
            </w:r>
            <w:r w:rsidRPr="000D21A6">
              <w:rPr>
                <w:rFonts w:ascii="Times New Roman" w:hAnsi="Times New Roman" w:cs="Times New Roman"/>
                <w:color w:val="000000" w:themeColor="text1"/>
              </w:rPr>
              <w:t>.</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041C"/>
    <w:rsid w:val="000314F3"/>
    <w:rsid w:val="00036BB6"/>
    <w:rsid w:val="00036E46"/>
    <w:rsid w:val="000508EF"/>
    <w:rsid w:val="00051654"/>
    <w:rsid w:val="00052F4A"/>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388"/>
    <w:rsid w:val="000B5895"/>
    <w:rsid w:val="000C1722"/>
    <w:rsid w:val="000C2101"/>
    <w:rsid w:val="000C667F"/>
    <w:rsid w:val="000C6930"/>
    <w:rsid w:val="000C77DE"/>
    <w:rsid w:val="000D1EA9"/>
    <w:rsid w:val="000D21A6"/>
    <w:rsid w:val="000D2611"/>
    <w:rsid w:val="000D2B1E"/>
    <w:rsid w:val="000D7AD0"/>
    <w:rsid w:val="000E6243"/>
    <w:rsid w:val="000E7887"/>
    <w:rsid w:val="00100A7B"/>
    <w:rsid w:val="00102272"/>
    <w:rsid w:val="00105351"/>
    <w:rsid w:val="00106092"/>
    <w:rsid w:val="001113A7"/>
    <w:rsid w:val="00112FCD"/>
    <w:rsid w:val="0011465B"/>
    <w:rsid w:val="00117A0B"/>
    <w:rsid w:val="00121F39"/>
    <w:rsid w:val="00126ADC"/>
    <w:rsid w:val="001302EA"/>
    <w:rsid w:val="001332B6"/>
    <w:rsid w:val="00137A18"/>
    <w:rsid w:val="00145219"/>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77051"/>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8D9"/>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7459B"/>
    <w:rsid w:val="00280EF5"/>
    <w:rsid w:val="00281873"/>
    <w:rsid w:val="00283C3B"/>
    <w:rsid w:val="00290975"/>
    <w:rsid w:val="00293FE0"/>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30906"/>
    <w:rsid w:val="005348EA"/>
    <w:rsid w:val="005370AC"/>
    <w:rsid w:val="0054168B"/>
    <w:rsid w:val="005436B4"/>
    <w:rsid w:val="00544A62"/>
    <w:rsid w:val="00556206"/>
    <w:rsid w:val="00557B47"/>
    <w:rsid w:val="0056170E"/>
    <w:rsid w:val="00564B5B"/>
    <w:rsid w:val="00570292"/>
    <w:rsid w:val="00571932"/>
    <w:rsid w:val="00573B1D"/>
    <w:rsid w:val="005759FD"/>
    <w:rsid w:val="00575E35"/>
    <w:rsid w:val="00575F11"/>
    <w:rsid w:val="0058377E"/>
    <w:rsid w:val="00583F19"/>
    <w:rsid w:val="005844D2"/>
    <w:rsid w:val="00584E20"/>
    <w:rsid w:val="00593209"/>
    <w:rsid w:val="005953F2"/>
    <w:rsid w:val="005A2351"/>
    <w:rsid w:val="005A4648"/>
    <w:rsid w:val="005A716A"/>
    <w:rsid w:val="005B307E"/>
    <w:rsid w:val="005B6343"/>
    <w:rsid w:val="005C2D25"/>
    <w:rsid w:val="005C426A"/>
    <w:rsid w:val="005C4DCB"/>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D41AD"/>
    <w:rsid w:val="007D41EF"/>
    <w:rsid w:val="007D6762"/>
    <w:rsid w:val="007E04A9"/>
    <w:rsid w:val="007E4DB3"/>
    <w:rsid w:val="007E769A"/>
    <w:rsid w:val="007E78B0"/>
    <w:rsid w:val="007F3AA4"/>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29B4"/>
    <w:rsid w:val="008F520F"/>
    <w:rsid w:val="008F73A5"/>
    <w:rsid w:val="0090262E"/>
    <w:rsid w:val="0090368E"/>
    <w:rsid w:val="0090770E"/>
    <w:rsid w:val="00911C70"/>
    <w:rsid w:val="00911D11"/>
    <w:rsid w:val="00913843"/>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D5B"/>
    <w:rsid w:val="00CE41A7"/>
    <w:rsid w:val="00CE4E2A"/>
    <w:rsid w:val="00CE737A"/>
    <w:rsid w:val="00CE7F69"/>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854E8"/>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0E"/>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3D5D"/>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A7E77"/>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B0CF"/>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76C9A-78A3-4315-8271-CCDB4722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2</cp:revision>
  <cp:lastPrinted>2018-04-02T11:07:00Z</cp:lastPrinted>
  <dcterms:created xsi:type="dcterms:W3CDTF">2023-03-24T07:33:00Z</dcterms:created>
  <dcterms:modified xsi:type="dcterms:W3CDTF">2023-03-24T07:33:00Z</dcterms:modified>
</cp:coreProperties>
</file>